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16" w:rsidRPr="00114653" w:rsidRDefault="00816A16" w:rsidP="00114653">
      <w:pPr>
        <w:jc w:val="center"/>
        <w:rPr>
          <w:rFonts w:ascii="Arial Black" w:hAnsi="Arial Black"/>
          <w:sz w:val="24"/>
        </w:rPr>
      </w:pPr>
      <w:r w:rsidRPr="00114653">
        <w:rPr>
          <w:rFonts w:ascii="Arial Black" w:hAnsi="Arial Black"/>
          <w:sz w:val="24"/>
        </w:rPr>
        <w:t xml:space="preserve">PROCEDIMENTO DISCIPLINARE </w:t>
      </w:r>
    </w:p>
    <w:p w:rsidR="00816A16" w:rsidRDefault="00816A16" w:rsidP="00816A16">
      <w:r>
        <w:t xml:space="preserve"> </w:t>
      </w:r>
    </w:p>
    <w:p w:rsidR="00816A16" w:rsidRPr="00114653" w:rsidRDefault="00816A16" w:rsidP="00114653">
      <w:pPr>
        <w:jc w:val="center"/>
        <w:rPr>
          <w:rFonts w:ascii="Arial" w:hAnsi="Arial" w:cs="Arial"/>
          <w:b/>
          <w:sz w:val="20"/>
        </w:rPr>
      </w:pPr>
      <w:r w:rsidRPr="00114653">
        <w:rPr>
          <w:rFonts w:ascii="Arial" w:hAnsi="Arial" w:cs="Arial"/>
          <w:b/>
          <w:sz w:val="20"/>
        </w:rPr>
        <w:t xml:space="preserve">AI SENSI DELL’ART. </w:t>
      </w:r>
      <w:r w:rsidR="00114653" w:rsidRPr="00114653">
        <w:rPr>
          <w:rFonts w:ascii="Arial" w:hAnsi="Arial" w:cs="Arial"/>
          <w:b/>
          <w:sz w:val="20"/>
        </w:rPr>
        <w:t>39</w:t>
      </w:r>
      <w:r w:rsidRPr="00114653">
        <w:rPr>
          <w:rFonts w:ascii="Arial" w:hAnsi="Arial" w:cs="Arial"/>
          <w:b/>
          <w:sz w:val="20"/>
        </w:rPr>
        <w:t xml:space="preserve"> DELL’ACCORDO COLLETTIVO NAZIONALE PER LA DISCIPLINA DEI RAPPORTI CON GLI SPECIALISTI AMBULATORIALI INTERNI, VETERINARI ED ALTRE PROFESSIONALITÀ SANITARIE (BIOLOGI, CHIMICI, PSICOLOGI) AMBULATORIALI  AI SENSI DELL’ART. 8 DEL </w:t>
      </w:r>
      <w:proofErr w:type="spellStart"/>
      <w:r w:rsidRPr="00114653">
        <w:rPr>
          <w:rFonts w:ascii="Arial" w:hAnsi="Arial" w:cs="Arial"/>
          <w:b/>
          <w:sz w:val="20"/>
        </w:rPr>
        <w:t>D.LGS.</w:t>
      </w:r>
      <w:proofErr w:type="spellEnd"/>
      <w:r w:rsidRPr="00114653">
        <w:rPr>
          <w:rFonts w:ascii="Arial" w:hAnsi="Arial" w:cs="Arial"/>
          <w:b/>
          <w:sz w:val="20"/>
        </w:rPr>
        <w:t xml:space="preserve"> N. 502 DEL 1992 E </w:t>
      </w:r>
      <w:proofErr w:type="spellStart"/>
      <w:r w:rsidRPr="00114653">
        <w:rPr>
          <w:rFonts w:ascii="Arial" w:hAnsi="Arial" w:cs="Arial"/>
          <w:b/>
          <w:sz w:val="20"/>
        </w:rPr>
        <w:t>SS.MM.II</w:t>
      </w:r>
      <w:proofErr w:type="spellEnd"/>
      <w:r w:rsidRPr="00114653">
        <w:rPr>
          <w:rFonts w:ascii="Arial" w:hAnsi="Arial" w:cs="Arial"/>
          <w:b/>
          <w:sz w:val="20"/>
        </w:rPr>
        <w:t xml:space="preserve">. IN VIGORE DAL </w:t>
      </w:r>
      <w:r w:rsidR="00114653">
        <w:rPr>
          <w:rFonts w:ascii="Arial" w:hAnsi="Arial" w:cs="Arial"/>
          <w:b/>
          <w:sz w:val="20"/>
        </w:rPr>
        <w:t>31.03.2020</w:t>
      </w:r>
      <w:r w:rsidRPr="00114653">
        <w:rPr>
          <w:rFonts w:ascii="Arial" w:hAnsi="Arial" w:cs="Arial"/>
          <w:b/>
          <w:sz w:val="20"/>
        </w:rPr>
        <w:t xml:space="preserve"> </w:t>
      </w:r>
    </w:p>
    <w:p w:rsidR="00816A16" w:rsidRDefault="00816A16" w:rsidP="00816A16">
      <w:r>
        <w:t xml:space="preserve"> </w:t>
      </w:r>
    </w:p>
    <w:p w:rsidR="00816A16" w:rsidRDefault="00816A16" w:rsidP="00816A16">
      <w:pPr>
        <w:pStyle w:val="Default"/>
      </w:pPr>
    </w:p>
    <w:p w:rsidR="00816A16" w:rsidRPr="00114653" w:rsidRDefault="00816A16" w:rsidP="00CE0444">
      <w:pPr>
        <w:pStyle w:val="Default"/>
        <w:spacing w:after="165"/>
        <w:ind w:left="426" w:hanging="426"/>
        <w:jc w:val="both"/>
        <w:rPr>
          <w:rFonts w:ascii="Arial" w:hAnsi="Arial" w:cs="Arial"/>
          <w:sz w:val="20"/>
          <w:szCs w:val="20"/>
        </w:rPr>
      </w:pPr>
      <w:r w:rsidRPr="00114653">
        <w:rPr>
          <w:rFonts w:ascii="Arial" w:hAnsi="Arial" w:cs="Arial"/>
          <w:sz w:val="20"/>
          <w:szCs w:val="20"/>
        </w:rPr>
        <w:t xml:space="preserve">1. </w:t>
      </w:r>
      <w:r w:rsidR="00CE0444">
        <w:rPr>
          <w:rFonts w:ascii="Arial" w:hAnsi="Arial" w:cs="Arial"/>
          <w:sz w:val="20"/>
          <w:szCs w:val="20"/>
        </w:rPr>
        <w:tab/>
      </w:r>
      <w:r w:rsidRPr="00114653">
        <w:rPr>
          <w:rFonts w:ascii="Arial" w:hAnsi="Arial" w:cs="Arial"/>
          <w:sz w:val="20"/>
          <w:szCs w:val="20"/>
        </w:rPr>
        <w:t xml:space="preserve">In considerazione della specificità professionale e delle particolari responsabilità che caratterizzano le figure dello specialista ambulatoriale, del veterinario e del professionista convenzionato, sono stabilite specifiche fattispecie di responsabilità disciplinari, nonché il relativo sistema sanzionatorio con la garanzia di adeguate tutele degli specialisti, veterinari e professionisti, in analogia ai principi stabiliti dal </w:t>
      </w:r>
      <w:proofErr w:type="spellStart"/>
      <w:r w:rsidRPr="00114653">
        <w:rPr>
          <w:rFonts w:ascii="Arial" w:hAnsi="Arial" w:cs="Arial"/>
          <w:sz w:val="20"/>
          <w:szCs w:val="20"/>
        </w:rPr>
        <w:t>D.Lgs.</w:t>
      </w:r>
      <w:proofErr w:type="spellEnd"/>
      <w:r w:rsidRPr="00114653">
        <w:rPr>
          <w:rFonts w:ascii="Arial" w:hAnsi="Arial" w:cs="Arial"/>
          <w:sz w:val="20"/>
          <w:szCs w:val="20"/>
        </w:rPr>
        <w:t xml:space="preserve"> 30 marzo 2001, n. 165 come modificato dal </w:t>
      </w:r>
      <w:proofErr w:type="spellStart"/>
      <w:r w:rsidRPr="00114653">
        <w:rPr>
          <w:rFonts w:ascii="Arial" w:hAnsi="Arial" w:cs="Arial"/>
          <w:sz w:val="20"/>
          <w:szCs w:val="20"/>
        </w:rPr>
        <w:t>D.Lgs.</w:t>
      </w:r>
      <w:proofErr w:type="spellEnd"/>
      <w:r w:rsidRPr="00114653">
        <w:rPr>
          <w:rFonts w:ascii="Arial" w:hAnsi="Arial" w:cs="Arial"/>
          <w:sz w:val="20"/>
          <w:szCs w:val="20"/>
        </w:rPr>
        <w:t xml:space="preserve"> 27 ottobre 2009, n. 150. </w:t>
      </w:r>
    </w:p>
    <w:p w:rsidR="00816A16" w:rsidRPr="00114653" w:rsidRDefault="00816A16" w:rsidP="00CE0444">
      <w:pPr>
        <w:pStyle w:val="Default"/>
        <w:spacing w:after="165"/>
        <w:ind w:left="426" w:hanging="426"/>
        <w:jc w:val="both"/>
        <w:rPr>
          <w:rFonts w:ascii="Arial" w:hAnsi="Arial" w:cs="Arial"/>
          <w:sz w:val="20"/>
          <w:szCs w:val="20"/>
        </w:rPr>
      </w:pPr>
      <w:r w:rsidRPr="00114653">
        <w:rPr>
          <w:rFonts w:ascii="Arial" w:hAnsi="Arial" w:cs="Arial"/>
          <w:sz w:val="20"/>
          <w:szCs w:val="20"/>
        </w:rPr>
        <w:t xml:space="preserve">2. </w:t>
      </w:r>
      <w:r w:rsidR="00CE0444">
        <w:rPr>
          <w:rFonts w:ascii="Arial" w:hAnsi="Arial" w:cs="Arial"/>
          <w:sz w:val="20"/>
          <w:szCs w:val="20"/>
        </w:rPr>
        <w:tab/>
      </w:r>
      <w:r w:rsidRPr="00114653">
        <w:rPr>
          <w:rFonts w:ascii="Arial" w:hAnsi="Arial" w:cs="Arial"/>
          <w:sz w:val="20"/>
          <w:szCs w:val="20"/>
        </w:rPr>
        <w:t xml:space="preserve">I criteri per l’individuazione delle violazioni sono i seguenti: violazione di obblighi e compiti previsti dagli Accordi (Nazionale, Regionale ed Aziendale), mancata collaborazione con le strutture dirigenziali in relazione a quanto previsto e disciplinato negli Accordi, mancato rispetto delle norme previste dall’Allegato 5 – Codice di comportamento degli specialisti ambulatoriali interni, veterinari ed altre professionalità sanitarie (biologi, chimici, psicologi) ambulatoriali. </w:t>
      </w:r>
    </w:p>
    <w:p w:rsidR="00816A16" w:rsidRPr="00114653" w:rsidRDefault="00816A16" w:rsidP="00CE0444">
      <w:pPr>
        <w:pStyle w:val="Default"/>
        <w:ind w:left="426" w:hanging="426"/>
        <w:jc w:val="both"/>
        <w:rPr>
          <w:rFonts w:ascii="Arial" w:hAnsi="Arial" w:cs="Arial"/>
          <w:sz w:val="20"/>
          <w:szCs w:val="20"/>
        </w:rPr>
      </w:pPr>
      <w:r w:rsidRPr="00114653">
        <w:rPr>
          <w:rFonts w:ascii="Arial" w:hAnsi="Arial" w:cs="Arial"/>
          <w:sz w:val="20"/>
          <w:szCs w:val="20"/>
        </w:rPr>
        <w:t xml:space="preserve">3. </w:t>
      </w:r>
      <w:r w:rsidR="00CE0444">
        <w:rPr>
          <w:rFonts w:ascii="Arial" w:hAnsi="Arial" w:cs="Arial"/>
          <w:sz w:val="20"/>
          <w:szCs w:val="20"/>
        </w:rPr>
        <w:tab/>
      </w:r>
      <w:r w:rsidRPr="00114653">
        <w:rPr>
          <w:rFonts w:ascii="Arial" w:hAnsi="Arial" w:cs="Arial"/>
          <w:sz w:val="20"/>
          <w:szCs w:val="20"/>
        </w:rPr>
        <w:t xml:space="preserve">Le violazioni degli obblighi di cui al comma precedente, secondo la gravità dell’infrazione, previo procedimento disciplinare, danno luogo all’applicazione delle seguenti tipologie di sanzioni: </w:t>
      </w:r>
    </w:p>
    <w:p w:rsidR="00816A16" w:rsidRPr="00114653" w:rsidRDefault="00816A16" w:rsidP="003C5B66">
      <w:pPr>
        <w:pStyle w:val="Default"/>
        <w:spacing w:after="166"/>
        <w:ind w:left="709" w:hanging="283"/>
        <w:jc w:val="both"/>
        <w:rPr>
          <w:rFonts w:ascii="Arial" w:hAnsi="Arial" w:cs="Arial"/>
          <w:sz w:val="20"/>
          <w:szCs w:val="20"/>
        </w:rPr>
      </w:pPr>
      <w:r w:rsidRPr="00114653">
        <w:rPr>
          <w:rFonts w:ascii="Arial" w:hAnsi="Arial" w:cs="Arial"/>
          <w:sz w:val="20"/>
          <w:szCs w:val="20"/>
        </w:rPr>
        <w:t xml:space="preserve">a) </w:t>
      </w:r>
      <w:r w:rsidR="003C5B66">
        <w:rPr>
          <w:rFonts w:ascii="Arial" w:hAnsi="Arial" w:cs="Arial"/>
          <w:sz w:val="20"/>
          <w:szCs w:val="20"/>
        </w:rPr>
        <w:tab/>
      </w:r>
      <w:r w:rsidRPr="00114653">
        <w:rPr>
          <w:rFonts w:ascii="Arial" w:hAnsi="Arial" w:cs="Arial"/>
          <w:sz w:val="20"/>
          <w:szCs w:val="20"/>
        </w:rPr>
        <w:t xml:space="preserve">rimprovero scritto; </w:t>
      </w:r>
    </w:p>
    <w:p w:rsidR="00816A16" w:rsidRPr="00114653" w:rsidRDefault="00816A16" w:rsidP="003C5B66">
      <w:pPr>
        <w:pStyle w:val="Default"/>
        <w:spacing w:after="166"/>
        <w:ind w:left="709" w:hanging="283"/>
        <w:jc w:val="both"/>
        <w:rPr>
          <w:rFonts w:ascii="Arial" w:hAnsi="Arial" w:cs="Arial"/>
          <w:sz w:val="20"/>
          <w:szCs w:val="20"/>
        </w:rPr>
      </w:pPr>
      <w:r w:rsidRPr="00114653">
        <w:rPr>
          <w:rFonts w:ascii="Arial" w:hAnsi="Arial" w:cs="Arial"/>
          <w:sz w:val="20"/>
          <w:szCs w:val="20"/>
        </w:rPr>
        <w:t xml:space="preserve">b) sanzione pecuniaria, di importo non inferiore al 5% e non superiore al 10% della retribuzione corrisposta nel mese precedente, per la durata massima di tre mesi; </w:t>
      </w:r>
    </w:p>
    <w:p w:rsidR="00816A16" w:rsidRPr="00114653" w:rsidRDefault="00816A16" w:rsidP="003C5B66">
      <w:pPr>
        <w:pStyle w:val="Default"/>
        <w:spacing w:after="166"/>
        <w:ind w:left="709" w:hanging="283"/>
        <w:jc w:val="both"/>
        <w:rPr>
          <w:rFonts w:ascii="Arial" w:hAnsi="Arial" w:cs="Arial"/>
          <w:sz w:val="20"/>
          <w:szCs w:val="20"/>
        </w:rPr>
      </w:pPr>
      <w:r w:rsidRPr="00114653">
        <w:rPr>
          <w:rFonts w:ascii="Arial" w:hAnsi="Arial" w:cs="Arial"/>
          <w:sz w:val="20"/>
          <w:szCs w:val="20"/>
        </w:rPr>
        <w:t xml:space="preserve">c) sospensione dall’incarico e dal trattamento economico per una durata non inferiore a un mese e non superiore a sei; </w:t>
      </w:r>
    </w:p>
    <w:p w:rsidR="00816A16" w:rsidRPr="00114653" w:rsidRDefault="00816A16" w:rsidP="003C5B66">
      <w:pPr>
        <w:pStyle w:val="Default"/>
        <w:spacing w:after="166"/>
        <w:ind w:left="709" w:hanging="283"/>
        <w:jc w:val="both"/>
        <w:rPr>
          <w:rFonts w:ascii="Arial" w:hAnsi="Arial" w:cs="Arial"/>
          <w:sz w:val="20"/>
          <w:szCs w:val="20"/>
        </w:rPr>
      </w:pPr>
      <w:r w:rsidRPr="00114653">
        <w:rPr>
          <w:rFonts w:ascii="Arial" w:hAnsi="Arial" w:cs="Arial"/>
          <w:sz w:val="20"/>
          <w:szCs w:val="20"/>
        </w:rPr>
        <w:t xml:space="preserve">d) revoca dell’incarico con preavviso; </w:t>
      </w:r>
    </w:p>
    <w:p w:rsidR="00816A16" w:rsidRDefault="00816A16" w:rsidP="003C5B66">
      <w:pPr>
        <w:pStyle w:val="Default"/>
        <w:ind w:left="709" w:hanging="283"/>
        <w:jc w:val="both"/>
        <w:rPr>
          <w:rFonts w:ascii="Arial" w:hAnsi="Arial" w:cs="Arial"/>
          <w:sz w:val="20"/>
          <w:szCs w:val="20"/>
        </w:rPr>
      </w:pPr>
      <w:r w:rsidRPr="00114653">
        <w:rPr>
          <w:rFonts w:ascii="Arial" w:hAnsi="Arial" w:cs="Arial"/>
          <w:sz w:val="20"/>
          <w:szCs w:val="20"/>
        </w:rPr>
        <w:t xml:space="preserve">e) revoca dell’incarico senza preavviso. </w:t>
      </w:r>
    </w:p>
    <w:p w:rsidR="003C5B66" w:rsidRPr="00114653" w:rsidRDefault="003C5B66" w:rsidP="003C5B66">
      <w:pPr>
        <w:pStyle w:val="Default"/>
        <w:jc w:val="both"/>
        <w:rPr>
          <w:rFonts w:ascii="Arial" w:hAnsi="Arial" w:cs="Arial"/>
          <w:sz w:val="20"/>
          <w:szCs w:val="20"/>
        </w:rPr>
      </w:pPr>
    </w:p>
    <w:p w:rsidR="00816A16" w:rsidRPr="00114653" w:rsidRDefault="00816A16" w:rsidP="003C5B66">
      <w:pPr>
        <w:pStyle w:val="Default"/>
        <w:spacing w:after="165"/>
        <w:ind w:left="284" w:hanging="284"/>
        <w:jc w:val="both"/>
        <w:rPr>
          <w:rFonts w:ascii="Arial" w:hAnsi="Arial" w:cs="Arial"/>
          <w:sz w:val="20"/>
          <w:szCs w:val="20"/>
        </w:rPr>
      </w:pPr>
      <w:r w:rsidRPr="00114653">
        <w:rPr>
          <w:rFonts w:ascii="Arial" w:hAnsi="Arial" w:cs="Arial"/>
          <w:sz w:val="20"/>
          <w:szCs w:val="20"/>
        </w:rPr>
        <w:t xml:space="preserve">4. Le infrazioni e le relative sanzioni sono individuate nell’Allegato 6 – Sanzioni disciplinari. L’irrogazione della sanzione deve basarsi su elementi certi ed obiettivi, comunicata tempestivamente allo specialista ambulatoriale, veterinario e professionista al fine di garantire la certezza delle situazioni giuridiche. Non può essere applicata una sanzione diversa da quella prevista dal presente Accordo. </w:t>
      </w:r>
    </w:p>
    <w:p w:rsidR="00816A16" w:rsidRPr="00114653" w:rsidRDefault="00816A16" w:rsidP="003C5B66">
      <w:pPr>
        <w:pStyle w:val="Default"/>
        <w:spacing w:after="165"/>
        <w:ind w:left="284" w:hanging="284"/>
        <w:jc w:val="both"/>
        <w:rPr>
          <w:rFonts w:ascii="Arial" w:hAnsi="Arial" w:cs="Arial"/>
          <w:sz w:val="20"/>
          <w:szCs w:val="20"/>
        </w:rPr>
      </w:pPr>
      <w:r w:rsidRPr="00114653">
        <w:rPr>
          <w:rFonts w:ascii="Arial" w:hAnsi="Arial" w:cs="Arial"/>
          <w:sz w:val="20"/>
          <w:szCs w:val="20"/>
        </w:rPr>
        <w:t xml:space="preserve">5. I soggetti competenti per i procedimenti disciplinari degli specialisti ambulatoriali, veterinari e professionisti sono così individuati: </w:t>
      </w:r>
    </w:p>
    <w:p w:rsidR="00816A16" w:rsidRPr="00114653" w:rsidRDefault="00816A16" w:rsidP="003C5B66">
      <w:pPr>
        <w:pStyle w:val="Default"/>
        <w:spacing w:after="166"/>
        <w:ind w:left="709" w:hanging="283"/>
        <w:jc w:val="both"/>
        <w:rPr>
          <w:rFonts w:ascii="Arial" w:hAnsi="Arial" w:cs="Arial"/>
          <w:sz w:val="20"/>
          <w:szCs w:val="20"/>
        </w:rPr>
      </w:pPr>
      <w:r w:rsidRPr="00114653">
        <w:rPr>
          <w:rFonts w:ascii="Arial" w:hAnsi="Arial" w:cs="Arial"/>
          <w:sz w:val="20"/>
          <w:szCs w:val="20"/>
        </w:rPr>
        <w:t xml:space="preserve">a) il referente della AFT di riferimento per le infrazioni di minore gravità, a carattere occasionale, per le quali è prevista la sanzione del rimprovero scritto; </w:t>
      </w:r>
    </w:p>
    <w:p w:rsidR="00816A16" w:rsidRPr="00114653" w:rsidRDefault="00816A16" w:rsidP="003C5B66">
      <w:pPr>
        <w:pStyle w:val="Default"/>
        <w:spacing w:after="166"/>
        <w:ind w:left="709" w:hanging="283"/>
        <w:jc w:val="both"/>
        <w:rPr>
          <w:rFonts w:ascii="Arial" w:hAnsi="Arial" w:cs="Arial"/>
          <w:sz w:val="20"/>
          <w:szCs w:val="20"/>
        </w:rPr>
      </w:pPr>
      <w:r w:rsidRPr="00114653">
        <w:rPr>
          <w:rFonts w:ascii="Arial" w:hAnsi="Arial" w:cs="Arial"/>
          <w:sz w:val="20"/>
          <w:szCs w:val="20"/>
        </w:rPr>
        <w:t xml:space="preserve">b) l’Ufficio competente per i Procedimenti Disciplinari (UPD) istituito presso ciascuna Azienda, secondo quanto previsto dall’articolo 55-bis, comma 4 del D. </w:t>
      </w:r>
      <w:proofErr w:type="spellStart"/>
      <w:r w:rsidRPr="00114653">
        <w:rPr>
          <w:rFonts w:ascii="Arial" w:hAnsi="Arial" w:cs="Arial"/>
          <w:sz w:val="20"/>
          <w:szCs w:val="20"/>
        </w:rPr>
        <w:t>Lgs</w:t>
      </w:r>
      <w:proofErr w:type="spellEnd"/>
      <w:r w:rsidRPr="00114653">
        <w:rPr>
          <w:rFonts w:ascii="Arial" w:hAnsi="Arial" w:cs="Arial"/>
          <w:sz w:val="20"/>
          <w:szCs w:val="20"/>
        </w:rPr>
        <w:t xml:space="preserve">. 30 marzo 2001, n. 165 e </w:t>
      </w:r>
      <w:proofErr w:type="spellStart"/>
      <w:r w:rsidRPr="00114653">
        <w:rPr>
          <w:rFonts w:ascii="Arial" w:hAnsi="Arial" w:cs="Arial"/>
          <w:sz w:val="20"/>
          <w:szCs w:val="20"/>
        </w:rPr>
        <w:t>s.m.i.</w:t>
      </w:r>
      <w:proofErr w:type="spellEnd"/>
      <w:r w:rsidRPr="00114653">
        <w:rPr>
          <w:rFonts w:ascii="Arial" w:hAnsi="Arial" w:cs="Arial"/>
          <w:sz w:val="20"/>
          <w:szCs w:val="20"/>
        </w:rPr>
        <w:t xml:space="preserve">, per le violazioni punibili con le sanzioni di maggior gravità di cui al precedente comma 3, lettere b) c) d) e). In caso di procedimento disciplinare riguardante lo specialista ambulatoriale, il veterinario o il professionista un componente dell’UPD è sostituito da un componente in rapporto di convenzionamento di cui al presente Accordo. </w:t>
      </w:r>
    </w:p>
    <w:p w:rsidR="00816A16" w:rsidRPr="00D379E0" w:rsidRDefault="00D379E0" w:rsidP="00D379E0">
      <w:pPr>
        <w:pStyle w:val="Default"/>
        <w:spacing w:after="165"/>
        <w:ind w:left="284" w:hanging="284"/>
        <w:jc w:val="both"/>
        <w:rPr>
          <w:rFonts w:ascii="Arial" w:hAnsi="Arial" w:cs="Arial"/>
          <w:sz w:val="20"/>
          <w:szCs w:val="20"/>
        </w:rPr>
      </w:pPr>
      <w:r>
        <w:rPr>
          <w:rFonts w:ascii="Arial" w:hAnsi="Arial" w:cs="Arial"/>
          <w:sz w:val="20"/>
          <w:szCs w:val="20"/>
        </w:rPr>
        <w:t>6.</w:t>
      </w:r>
      <w:r>
        <w:rPr>
          <w:rFonts w:ascii="Arial" w:hAnsi="Arial" w:cs="Arial"/>
          <w:sz w:val="20"/>
          <w:szCs w:val="20"/>
        </w:rPr>
        <w:tab/>
      </w:r>
      <w:r w:rsidR="00816A16" w:rsidRPr="00114653">
        <w:rPr>
          <w:rFonts w:ascii="Arial" w:hAnsi="Arial" w:cs="Arial"/>
          <w:sz w:val="20"/>
          <w:szCs w:val="20"/>
        </w:rPr>
        <w:t xml:space="preserve">Nell’ambito del procedimento disciplinare, la contestazione dell’addebito deve essere specifica e tempestiva e riportare l’esposizione chiara e puntuale dei fatti, nel rispetto delle procedure di seguito indicate. </w:t>
      </w:r>
      <w:r>
        <w:rPr>
          <w:rFonts w:ascii="Arial" w:hAnsi="Arial" w:cs="Arial"/>
          <w:sz w:val="20"/>
          <w:szCs w:val="20"/>
        </w:rPr>
        <w:br/>
      </w:r>
      <w:r w:rsidR="00816A16" w:rsidRPr="00114653">
        <w:rPr>
          <w:rFonts w:ascii="Arial" w:hAnsi="Arial" w:cs="Arial"/>
          <w:color w:val="auto"/>
          <w:sz w:val="20"/>
          <w:szCs w:val="20"/>
        </w:rPr>
        <w:t xml:space="preserve">Nel </w:t>
      </w:r>
      <w:r w:rsidR="00816A16" w:rsidRPr="00D379E0">
        <w:rPr>
          <w:rFonts w:ascii="Arial" w:hAnsi="Arial" w:cs="Arial"/>
          <w:sz w:val="20"/>
          <w:szCs w:val="20"/>
        </w:rPr>
        <w:t xml:space="preserve">corso dell’istruttoria, il referente di cui al comma 5, lettera a) o l’UPD possono acquisire ulteriori informazioni o documenti rilevanti per la definizione del procedimento. La predetta attività istruttoria non determina la sospensione del procedimento, né il differimento dei relativi termini. </w:t>
      </w:r>
    </w:p>
    <w:p w:rsidR="00816A16" w:rsidRPr="00114653" w:rsidRDefault="00816A16" w:rsidP="00D379E0">
      <w:pPr>
        <w:pStyle w:val="Default"/>
        <w:spacing w:after="165"/>
        <w:ind w:left="284"/>
        <w:jc w:val="both"/>
        <w:rPr>
          <w:rFonts w:ascii="Arial" w:hAnsi="Arial" w:cs="Arial"/>
          <w:color w:val="auto"/>
          <w:sz w:val="20"/>
          <w:szCs w:val="20"/>
        </w:rPr>
      </w:pPr>
      <w:r w:rsidRPr="00D379E0">
        <w:rPr>
          <w:rFonts w:ascii="Arial" w:hAnsi="Arial" w:cs="Arial"/>
          <w:sz w:val="20"/>
          <w:szCs w:val="20"/>
        </w:rPr>
        <w:lastRenderedPageBreak/>
        <w:t>Le comunicazioni agli specialisti ambulatoriali, veterinari e professionisti sanitari e l’accesso agli atti del proc</w:t>
      </w:r>
      <w:r w:rsidRPr="00114653">
        <w:rPr>
          <w:rFonts w:ascii="Arial" w:hAnsi="Arial" w:cs="Arial"/>
          <w:color w:val="auto"/>
          <w:sz w:val="20"/>
          <w:szCs w:val="20"/>
        </w:rPr>
        <w:t xml:space="preserve">edimento avvengono come di seguito indicato: </w:t>
      </w:r>
    </w:p>
    <w:p w:rsidR="00816A16" w:rsidRPr="00D379E0" w:rsidRDefault="00816A16" w:rsidP="00D379E0">
      <w:pPr>
        <w:pStyle w:val="Default"/>
        <w:spacing w:after="166"/>
        <w:ind w:left="709" w:hanging="283"/>
        <w:jc w:val="both"/>
        <w:rPr>
          <w:rFonts w:ascii="Arial" w:hAnsi="Arial" w:cs="Arial"/>
          <w:sz w:val="20"/>
          <w:szCs w:val="20"/>
        </w:rPr>
      </w:pPr>
      <w:r w:rsidRPr="00114653">
        <w:rPr>
          <w:rFonts w:ascii="Arial" w:hAnsi="Arial" w:cs="Arial"/>
          <w:color w:val="auto"/>
          <w:sz w:val="20"/>
          <w:szCs w:val="20"/>
        </w:rPr>
        <w:t xml:space="preserve">a) </w:t>
      </w:r>
      <w:r w:rsidRPr="00D379E0">
        <w:rPr>
          <w:rFonts w:ascii="Arial" w:hAnsi="Arial" w:cs="Arial"/>
          <w:sz w:val="20"/>
          <w:szCs w:val="20"/>
        </w:rPr>
        <w:t xml:space="preserve">ogni comunicazione, nell’ambito del procedimento disciplinare, è effettuata tramite posta elettronica certificata, ovvero con lettera raccomandata A/R; </w:t>
      </w:r>
    </w:p>
    <w:p w:rsidR="00816A16" w:rsidRPr="00114653" w:rsidRDefault="00816A16" w:rsidP="00D379E0">
      <w:pPr>
        <w:pStyle w:val="Default"/>
        <w:spacing w:after="166"/>
        <w:ind w:left="709" w:hanging="283"/>
        <w:jc w:val="both"/>
        <w:rPr>
          <w:rFonts w:ascii="Arial" w:hAnsi="Arial" w:cs="Arial"/>
          <w:color w:val="auto"/>
          <w:sz w:val="20"/>
          <w:szCs w:val="20"/>
        </w:rPr>
      </w:pPr>
      <w:r w:rsidRPr="00D379E0">
        <w:rPr>
          <w:rFonts w:ascii="Arial" w:hAnsi="Arial" w:cs="Arial"/>
          <w:sz w:val="20"/>
          <w:szCs w:val="20"/>
        </w:rPr>
        <w:t xml:space="preserve">b) lo specialista ambulatoriale, il veterinario ed il professionista hanno diritto di accesso agli atti istruttori del procedimento. </w:t>
      </w:r>
    </w:p>
    <w:p w:rsidR="00816A16" w:rsidRPr="00114653" w:rsidRDefault="00816A16" w:rsidP="00D379E0">
      <w:pPr>
        <w:pStyle w:val="Default"/>
        <w:spacing w:after="165"/>
        <w:ind w:left="284" w:hanging="284"/>
        <w:jc w:val="both"/>
        <w:rPr>
          <w:rFonts w:ascii="Arial" w:hAnsi="Arial" w:cs="Arial"/>
          <w:color w:val="auto"/>
          <w:sz w:val="20"/>
          <w:szCs w:val="20"/>
        </w:rPr>
      </w:pPr>
      <w:r w:rsidRPr="00114653">
        <w:rPr>
          <w:rFonts w:ascii="Arial" w:hAnsi="Arial" w:cs="Arial"/>
          <w:color w:val="auto"/>
          <w:sz w:val="20"/>
          <w:szCs w:val="20"/>
        </w:rPr>
        <w:t xml:space="preserve">7. Non </w:t>
      </w:r>
      <w:r w:rsidRPr="00D379E0">
        <w:rPr>
          <w:rFonts w:ascii="Arial" w:hAnsi="Arial" w:cs="Arial"/>
          <w:sz w:val="20"/>
          <w:szCs w:val="20"/>
        </w:rPr>
        <w:t>può</w:t>
      </w:r>
      <w:r w:rsidRPr="00114653">
        <w:rPr>
          <w:rFonts w:ascii="Arial" w:hAnsi="Arial" w:cs="Arial"/>
          <w:color w:val="auto"/>
          <w:sz w:val="20"/>
          <w:szCs w:val="20"/>
        </w:rPr>
        <w:t xml:space="preserve"> tenersi conto, ai fini di altro procedimento disciplinare, delle sanzioni disciplinari, decorsi due anni dalla loro applicazione. </w:t>
      </w:r>
    </w:p>
    <w:p w:rsidR="00816A16" w:rsidRPr="00114653" w:rsidRDefault="00816A16" w:rsidP="00D379E0">
      <w:pPr>
        <w:pStyle w:val="Default"/>
        <w:spacing w:after="165"/>
        <w:ind w:left="284" w:hanging="284"/>
        <w:jc w:val="both"/>
        <w:rPr>
          <w:rFonts w:ascii="Arial" w:hAnsi="Arial" w:cs="Arial"/>
          <w:color w:val="auto"/>
          <w:sz w:val="20"/>
          <w:szCs w:val="20"/>
        </w:rPr>
      </w:pPr>
      <w:r w:rsidRPr="00114653">
        <w:rPr>
          <w:rFonts w:ascii="Arial" w:hAnsi="Arial" w:cs="Arial"/>
          <w:color w:val="auto"/>
          <w:sz w:val="20"/>
          <w:szCs w:val="20"/>
        </w:rPr>
        <w:t xml:space="preserve">8. In </w:t>
      </w:r>
      <w:r w:rsidRPr="00D379E0">
        <w:rPr>
          <w:rFonts w:ascii="Arial" w:hAnsi="Arial" w:cs="Arial"/>
          <w:sz w:val="20"/>
          <w:szCs w:val="20"/>
        </w:rPr>
        <w:t>caso</w:t>
      </w:r>
      <w:r w:rsidRPr="00114653">
        <w:rPr>
          <w:rFonts w:ascii="Arial" w:hAnsi="Arial" w:cs="Arial"/>
          <w:color w:val="auto"/>
          <w:sz w:val="20"/>
          <w:szCs w:val="20"/>
        </w:rPr>
        <w:t xml:space="preserve"> di più violazioni compiute con un’unica azione o omissione si applica la sanzione più grave. </w:t>
      </w:r>
    </w:p>
    <w:p w:rsidR="00816A16" w:rsidRPr="00114653" w:rsidRDefault="00816A16" w:rsidP="00D379E0">
      <w:pPr>
        <w:pStyle w:val="Default"/>
        <w:spacing w:after="165"/>
        <w:ind w:left="284" w:hanging="284"/>
        <w:jc w:val="both"/>
        <w:rPr>
          <w:rFonts w:ascii="Arial" w:hAnsi="Arial" w:cs="Arial"/>
          <w:color w:val="auto"/>
          <w:sz w:val="20"/>
          <w:szCs w:val="20"/>
        </w:rPr>
      </w:pPr>
      <w:r w:rsidRPr="00114653">
        <w:rPr>
          <w:rFonts w:ascii="Arial" w:hAnsi="Arial" w:cs="Arial"/>
          <w:color w:val="auto"/>
          <w:sz w:val="20"/>
          <w:szCs w:val="20"/>
        </w:rPr>
        <w:t xml:space="preserve">9. I </w:t>
      </w:r>
      <w:r w:rsidRPr="00D379E0">
        <w:rPr>
          <w:rFonts w:ascii="Arial" w:hAnsi="Arial" w:cs="Arial"/>
          <w:sz w:val="20"/>
          <w:szCs w:val="20"/>
        </w:rPr>
        <w:t>modi</w:t>
      </w:r>
      <w:r w:rsidRPr="00114653">
        <w:rPr>
          <w:rFonts w:ascii="Arial" w:hAnsi="Arial" w:cs="Arial"/>
          <w:color w:val="auto"/>
          <w:sz w:val="20"/>
          <w:szCs w:val="20"/>
        </w:rPr>
        <w:t xml:space="preserve"> e i tempi per l’applicazione delle sanzioni sono i seguenti: </w:t>
      </w:r>
    </w:p>
    <w:p w:rsidR="00816A16" w:rsidRPr="00114653" w:rsidRDefault="00816A16" w:rsidP="00D379E0">
      <w:pPr>
        <w:pStyle w:val="Default"/>
        <w:spacing w:after="166"/>
        <w:ind w:left="709" w:hanging="283"/>
        <w:jc w:val="both"/>
        <w:rPr>
          <w:rFonts w:ascii="Arial" w:hAnsi="Arial" w:cs="Arial"/>
          <w:color w:val="auto"/>
          <w:sz w:val="20"/>
          <w:szCs w:val="20"/>
        </w:rPr>
      </w:pPr>
      <w:r w:rsidRPr="00114653">
        <w:rPr>
          <w:rFonts w:ascii="Arial" w:hAnsi="Arial" w:cs="Arial"/>
          <w:color w:val="auto"/>
          <w:sz w:val="20"/>
          <w:szCs w:val="20"/>
        </w:rPr>
        <w:t xml:space="preserve">a) </w:t>
      </w:r>
      <w:r w:rsidRPr="00D379E0">
        <w:rPr>
          <w:rFonts w:ascii="Arial" w:hAnsi="Arial" w:cs="Arial"/>
          <w:sz w:val="20"/>
          <w:szCs w:val="20"/>
        </w:rPr>
        <w:t>procedimento</w:t>
      </w:r>
      <w:r w:rsidRPr="00114653">
        <w:rPr>
          <w:rFonts w:ascii="Arial" w:hAnsi="Arial" w:cs="Arial"/>
          <w:color w:val="auto"/>
          <w:sz w:val="20"/>
          <w:szCs w:val="20"/>
        </w:rPr>
        <w:t xml:space="preserve"> per il referente di cui al comma 5, lettera a): </w:t>
      </w:r>
    </w:p>
    <w:p w:rsidR="00D379E0" w:rsidRDefault="00816A16" w:rsidP="00D379E0">
      <w:pPr>
        <w:pStyle w:val="Default"/>
        <w:ind w:left="993" w:hanging="284"/>
        <w:jc w:val="both"/>
        <w:rPr>
          <w:rFonts w:ascii="Arial" w:hAnsi="Arial" w:cs="Arial"/>
          <w:color w:val="auto"/>
          <w:sz w:val="20"/>
          <w:szCs w:val="20"/>
        </w:rPr>
      </w:pPr>
      <w:r w:rsidRPr="00114653">
        <w:rPr>
          <w:rFonts w:ascii="Arial" w:hAnsi="Arial" w:cs="Arial"/>
          <w:color w:val="auto"/>
          <w:sz w:val="20"/>
          <w:szCs w:val="20"/>
        </w:rPr>
        <w:t xml:space="preserve">I. il referente di cui al comma 5, lettera a) entro 20 (venti) giorni dal momento in cui viene a conoscenza di comportamenti punibili con la sanzione di minor gravità, contesta per iscritto l’addebito allo specialista ambulatoriale, veterinario o professionista e lo convoca, con un preavviso di almeno 10 (dieci) giorni, per il contraddittorio a sua difesa, con l’eventuale assistenza di un procuratore ovvero di un rappresentante dell’organizzazione sindacale cui l’interessato aderisce o conferisce mandato. </w:t>
      </w:r>
    </w:p>
    <w:p w:rsidR="00816A16" w:rsidRPr="00114653" w:rsidRDefault="00816A16" w:rsidP="00D379E0">
      <w:pPr>
        <w:pStyle w:val="Default"/>
        <w:ind w:left="993"/>
        <w:jc w:val="both"/>
        <w:rPr>
          <w:rFonts w:ascii="Arial" w:hAnsi="Arial" w:cs="Arial"/>
          <w:color w:val="auto"/>
          <w:sz w:val="20"/>
          <w:szCs w:val="20"/>
        </w:rPr>
      </w:pPr>
      <w:r w:rsidRPr="00114653">
        <w:rPr>
          <w:rFonts w:ascii="Arial" w:hAnsi="Arial" w:cs="Arial"/>
          <w:color w:val="auto"/>
          <w:sz w:val="20"/>
          <w:szCs w:val="20"/>
        </w:rPr>
        <w:t xml:space="preserve">Nel caso il referente di cui al comma 5, lettera a) ritenga che la sanzione da applicare sia più grave di quella del rimprovero scritto, entro 5 giorni dalla notizia del fatto trasmette gli atti all’Ufficio competente per i Procedimenti Disciplinari (UPD), dandone contestuale comunicazione all’interessato; </w:t>
      </w:r>
    </w:p>
    <w:p w:rsidR="00816A16" w:rsidRPr="00114653" w:rsidRDefault="00816A16" w:rsidP="00D379E0">
      <w:pPr>
        <w:pStyle w:val="Default"/>
        <w:spacing w:after="165"/>
        <w:ind w:left="993" w:hanging="284"/>
        <w:jc w:val="both"/>
        <w:rPr>
          <w:rFonts w:ascii="Arial" w:hAnsi="Arial" w:cs="Arial"/>
          <w:color w:val="auto"/>
          <w:sz w:val="20"/>
          <w:szCs w:val="20"/>
        </w:rPr>
      </w:pPr>
      <w:r w:rsidRPr="00114653">
        <w:rPr>
          <w:rFonts w:ascii="Arial" w:hAnsi="Arial" w:cs="Arial"/>
          <w:color w:val="auto"/>
          <w:sz w:val="20"/>
          <w:szCs w:val="20"/>
        </w:rPr>
        <w:t xml:space="preserve">II. entro il termine fissato, lo specialista ambulatoriale, il veterinario o il professionista convocato, se non intende presentarsi, può inviare una memoria scritta o, in caso di grave ed oggettivo impedimento, formulare motivata istanza di rinvio del termine per l’esercizio della propria difesa; </w:t>
      </w:r>
    </w:p>
    <w:p w:rsidR="00816A16" w:rsidRPr="00114653" w:rsidRDefault="00816A16" w:rsidP="00D379E0">
      <w:pPr>
        <w:pStyle w:val="Default"/>
        <w:spacing w:after="165"/>
        <w:ind w:left="993" w:hanging="284"/>
        <w:jc w:val="both"/>
        <w:rPr>
          <w:rFonts w:ascii="Arial" w:hAnsi="Arial" w:cs="Arial"/>
          <w:color w:val="auto"/>
          <w:sz w:val="20"/>
          <w:szCs w:val="20"/>
        </w:rPr>
      </w:pPr>
      <w:r w:rsidRPr="00114653">
        <w:rPr>
          <w:rFonts w:ascii="Arial" w:hAnsi="Arial" w:cs="Arial"/>
          <w:color w:val="auto"/>
          <w:sz w:val="20"/>
          <w:szCs w:val="20"/>
        </w:rPr>
        <w:t xml:space="preserve">III. in caso di differimento superiore a 10 (dieci) giorni dalla scadenza del preavviso, per impedimento dello specialista ambulatoriale, del veterinario o del professionista, il termine per la conclusione del procedimento è prorogato in misura corrispondente. Il rinvio del termine può essere concesso una volta sola nel corso del procedimento; </w:t>
      </w:r>
    </w:p>
    <w:p w:rsidR="00816A16" w:rsidRPr="00114653" w:rsidRDefault="00816A16" w:rsidP="00D379E0">
      <w:pPr>
        <w:pStyle w:val="Default"/>
        <w:spacing w:after="165"/>
        <w:ind w:left="993" w:hanging="284"/>
        <w:jc w:val="both"/>
        <w:rPr>
          <w:rFonts w:ascii="Arial" w:hAnsi="Arial" w:cs="Arial"/>
          <w:color w:val="auto"/>
          <w:sz w:val="20"/>
          <w:szCs w:val="20"/>
        </w:rPr>
      </w:pPr>
      <w:r w:rsidRPr="00114653">
        <w:rPr>
          <w:rFonts w:ascii="Arial" w:hAnsi="Arial" w:cs="Arial"/>
          <w:color w:val="auto"/>
          <w:sz w:val="20"/>
          <w:szCs w:val="20"/>
        </w:rPr>
        <w:t xml:space="preserve">IV. il responsabile della struttura organizzativa aziendale di riferimento conclude il procedimento, con l’atto di archiviazione o di irrogazione della sanzione, stabilita dal referente di cui al comma 5, lettera a), entro 60 (sessanta) giorni dalla contestazione dell’addebito; </w:t>
      </w:r>
    </w:p>
    <w:p w:rsidR="00816A16" w:rsidRPr="00114653" w:rsidRDefault="00816A16" w:rsidP="00D379E0">
      <w:pPr>
        <w:pStyle w:val="Default"/>
        <w:ind w:left="993" w:hanging="284"/>
        <w:jc w:val="both"/>
        <w:rPr>
          <w:rFonts w:ascii="Arial" w:hAnsi="Arial" w:cs="Arial"/>
          <w:color w:val="auto"/>
          <w:sz w:val="20"/>
          <w:szCs w:val="20"/>
        </w:rPr>
      </w:pPr>
      <w:r w:rsidRPr="00114653">
        <w:rPr>
          <w:rFonts w:ascii="Arial" w:hAnsi="Arial" w:cs="Arial"/>
          <w:color w:val="auto"/>
          <w:sz w:val="20"/>
          <w:szCs w:val="20"/>
        </w:rPr>
        <w:t xml:space="preserve">V. la sanzione disciplinare deve essere adeguatamente motivata e notificata per iscritto all’interessato; </w:t>
      </w:r>
    </w:p>
    <w:p w:rsidR="00D379E0" w:rsidRDefault="00D379E0" w:rsidP="00CE0444">
      <w:pPr>
        <w:pStyle w:val="Default"/>
        <w:ind w:left="426" w:hanging="426"/>
        <w:jc w:val="both"/>
        <w:rPr>
          <w:rFonts w:ascii="Arial" w:hAnsi="Arial" w:cs="Arial"/>
          <w:color w:val="auto"/>
          <w:sz w:val="20"/>
          <w:szCs w:val="20"/>
        </w:rPr>
      </w:pPr>
    </w:p>
    <w:p w:rsidR="00816A16" w:rsidRPr="00114653" w:rsidRDefault="00816A16" w:rsidP="00D379E0">
      <w:pPr>
        <w:pStyle w:val="Default"/>
        <w:spacing w:after="166"/>
        <w:ind w:left="709" w:hanging="283"/>
        <w:jc w:val="both"/>
        <w:rPr>
          <w:rFonts w:ascii="Arial" w:hAnsi="Arial" w:cs="Arial"/>
          <w:color w:val="auto"/>
          <w:sz w:val="20"/>
          <w:szCs w:val="20"/>
        </w:rPr>
      </w:pPr>
      <w:r w:rsidRPr="00114653">
        <w:rPr>
          <w:rFonts w:ascii="Arial" w:hAnsi="Arial" w:cs="Arial"/>
          <w:color w:val="auto"/>
          <w:sz w:val="20"/>
          <w:szCs w:val="20"/>
        </w:rPr>
        <w:t xml:space="preserve">b) </w:t>
      </w:r>
      <w:r w:rsidRPr="00D379E0">
        <w:rPr>
          <w:rFonts w:ascii="Arial" w:hAnsi="Arial" w:cs="Arial"/>
          <w:sz w:val="20"/>
          <w:szCs w:val="20"/>
        </w:rPr>
        <w:t>per</w:t>
      </w:r>
      <w:r w:rsidRPr="00114653">
        <w:rPr>
          <w:rFonts w:ascii="Arial" w:hAnsi="Arial" w:cs="Arial"/>
          <w:color w:val="auto"/>
          <w:sz w:val="20"/>
          <w:szCs w:val="20"/>
        </w:rPr>
        <w:t xml:space="preserve"> quanto attiene alla composizione, competenze, forme e termini dei procedimenti assegnati all’Ufficio competente per i Procedimenti Disciplinari (UPD), si rinvia al </w:t>
      </w:r>
      <w:proofErr w:type="spellStart"/>
      <w:r w:rsidRPr="00114653">
        <w:rPr>
          <w:rFonts w:ascii="Arial" w:hAnsi="Arial" w:cs="Arial"/>
          <w:color w:val="auto"/>
          <w:sz w:val="20"/>
          <w:szCs w:val="20"/>
        </w:rPr>
        <w:t>D.Lgs.</w:t>
      </w:r>
      <w:proofErr w:type="spellEnd"/>
      <w:r w:rsidRPr="00114653">
        <w:rPr>
          <w:rFonts w:ascii="Arial" w:hAnsi="Arial" w:cs="Arial"/>
          <w:color w:val="auto"/>
          <w:sz w:val="20"/>
          <w:szCs w:val="20"/>
        </w:rPr>
        <w:t xml:space="preserve"> 30 marzo 2001, n. 165 e </w:t>
      </w:r>
      <w:proofErr w:type="spellStart"/>
      <w:r w:rsidRPr="00114653">
        <w:rPr>
          <w:rFonts w:ascii="Arial" w:hAnsi="Arial" w:cs="Arial"/>
          <w:color w:val="auto"/>
          <w:sz w:val="20"/>
          <w:szCs w:val="20"/>
        </w:rPr>
        <w:t>s.m.i.</w:t>
      </w:r>
      <w:proofErr w:type="spellEnd"/>
      <w:r w:rsidRPr="00114653">
        <w:rPr>
          <w:rFonts w:ascii="Arial" w:hAnsi="Arial" w:cs="Arial"/>
          <w:color w:val="auto"/>
          <w:sz w:val="20"/>
          <w:szCs w:val="20"/>
        </w:rPr>
        <w:t xml:space="preserve"> ed ai regolamenti assunti da ciascuna Azienda. Anche nei procedimenti di competenza dell’UPD lo specialista ambulatoriale, il veterinario o il professionista può farsi assistere da un procuratore ovvero da un rappresentante dell’organizzazione sindacale cui aderisce o conferisce mandato.</w:t>
      </w:r>
      <w:r w:rsidR="00D379E0">
        <w:rPr>
          <w:rFonts w:ascii="Arial" w:hAnsi="Arial" w:cs="Arial"/>
          <w:color w:val="auto"/>
          <w:sz w:val="20"/>
          <w:szCs w:val="20"/>
        </w:rPr>
        <w:t xml:space="preserve"> </w:t>
      </w:r>
      <w:r w:rsidRPr="00114653">
        <w:rPr>
          <w:rFonts w:ascii="Arial" w:hAnsi="Arial" w:cs="Arial"/>
          <w:color w:val="auto"/>
          <w:sz w:val="20"/>
          <w:szCs w:val="20"/>
        </w:rPr>
        <w:t xml:space="preserve">In tali casi il soggetto competente ad assumere le determinazioni conclusive del procedimento disciplinare è il Direttore Generale o suo delegato. </w:t>
      </w:r>
    </w:p>
    <w:p w:rsidR="00816A16" w:rsidRPr="00114653" w:rsidRDefault="00816A16" w:rsidP="00014F80">
      <w:pPr>
        <w:pStyle w:val="Default"/>
        <w:spacing w:after="165"/>
        <w:ind w:left="426" w:hanging="426"/>
        <w:jc w:val="both"/>
        <w:rPr>
          <w:rFonts w:ascii="Arial" w:hAnsi="Arial" w:cs="Arial"/>
          <w:color w:val="auto"/>
          <w:sz w:val="20"/>
          <w:szCs w:val="20"/>
        </w:rPr>
      </w:pPr>
      <w:r w:rsidRPr="00114653">
        <w:rPr>
          <w:rFonts w:ascii="Arial" w:hAnsi="Arial" w:cs="Arial"/>
          <w:color w:val="auto"/>
          <w:sz w:val="20"/>
          <w:szCs w:val="20"/>
        </w:rPr>
        <w:t xml:space="preserve">10. </w:t>
      </w:r>
      <w:r w:rsidR="00261688">
        <w:rPr>
          <w:rFonts w:ascii="Arial" w:hAnsi="Arial" w:cs="Arial"/>
          <w:color w:val="auto"/>
          <w:sz w:val="20"/>
          <w:szCs w:val="20"/>
        </w:rPr>
        <w:tab/>
      </w:r>
      <w:r w:rsidRPr="00114653">
        <w:rPr>
          <w:rFonts w:ascii="Arial" w:hAnsi="Arial" w:cs="Arial"/>
          <w:color w:val="auto"/>
          <w:sz w:val="20"/>
          <w:szCs w:val="20"/>
        </w:rPr>
        <w:t xml:space="preserve">La violazione dei termini stabiliti nel presente articolo comporta, nel caso in cui la responsabilità sia dell’Azienda, la decadenza dall’azione disciplinare e, nel caso in cui la responsabilità sia dello specialista, veterinario o del professionista, la decadenza dall’esercizio del diritto di difesa. </w:t>
      </w:r>
    </w:p>
    <w:p w:rsidR="00816A16" w:rsidRPr="00114653" w:rsidRDefault="00816A16" w:rsidP="00014F80">
      <w:pPr>
        <w:pStyle w:val="Default"/>
        <w:spacing w:after="165"/>
        <w:ind w:left="426" w:hanging="426"/>
        <w:jc w:val="both"/>
        <w:rPr>
          <w:rFonts w:ascii="Arial" w:hAnsi="Arial" w:cs="Arial"/>
          <w:color w:val="auto"/>
          <w:sz w:val="20"/>
          <w:szCs w:val="20"/>
        </w:rPr>
      </w:pPr>
      <w:r w:rsidRPr="00114653">
        <w:rPr>
          <w:rFonts w:ascii="Arial" w:hAnsi="Arial" w:cs="Arial"/>
          <w:color w:val="auto"/>
          <w:sz w:val="20"/>
          <w:szCs w:val="20"/>
        </w:rPr>
        <w:t xml:space="preserve">11. </w:t>
      </w:r>
      <w:r w:rsidR="00261688">
        <w:rPr>
          <w:rFonts w:ascii="Arial" w:hAnsi="Arial" w:cs="Arial"/>
          <w:color w:val="auto"/>
          <w:sz w:val="20"/>
          <w:szCs w:val="20"/>
        </w:rPr>
        <w:tab/>
      </w:r>
      <w:r w:rsidRPr="00114653">
        <w:rPr>
          <w:rFonts w:ascii="Arial" w:hAnsi="Arial" w:cs="Arial"/>
          <w:color w:val="auto"/>
          <w:sz w:val="20"/>
          <w:szCs w:val="20"/>
        </w:rPr>
        <w:t xml:space="preserve">Per </w:t>
      </w:r>
      <w:r w:rsidRPr="00D379E0">
        <w:rPr>
          <w:rFonts w:ascii="Arial" w:hAnsi="Arial" w:cs="Arial"/>
          <w:sz w:val="20"/>
          <w:szCs w:val="20"/>
        </w:rPr>
        <w:t>quanto</w:t>
      </w:r>
      <w:r w:rsidRPr="00114653">
        <w:rPr>
          <w:rFonts w:ascii="Arial" w:hAnsi="Arial" w:cs="Arial"/>
          <w:color w:val="auto"/>
          <w:sz w:val="20"/>
          <w:szCs w:val="20"/>
        </w:rPr>
        <w:t xml:space="preserve"> non espressamente previsto dal presente articolo si applicano le disposizioni di cui alla L. 27 marzo 2001, n. 97 ed al </w:t>
      </w:r>
      <w:proofErr w:type="spellStart"/>
      <w:r w:rsidRPr="00114653">
        <w:rPr>
          <w:rFonts w:ascii="Arial" w:hAnsi="Arial" w:cs="Arial"/>
          <w:color w:val="auto"/>
          <w:sz w:val="20"/>
          <w:szCs w:val="20"/>
        </w:rPr>
        <w:t>D.Lgs.</w:t>
      </w:r>
      <w:proofErr w:type="spellEnd"/>
      <w:r w:rsidRPr="00114653">
        <w:rPr>
          <w:rFonts w:ascii="Arial" w:hAnsi="Arial" w:cs="Arial"/>
          <w:color w:val="auto"/>
          <w:sz w:val="20"/>
          <w:szCs w:val="20"/>
        </w:rPr>
        <w:t xml:space="preserve"> 30 marzo 2001, n. 165. </w:t>
      </w:r>
    </w:p>
    <w:p w:rsidR="00153649" w:rsidRPr="00114653" w:rsidRDefault="00153649" w:rsidP="00CE0444">
      <w:pPr>
        <w:ind w:left="426" w:hanging="426"/>
        <w:jc w:val="both"/>
        <w:rPr>
          <w:rFonts w:ascii="Arial" w:hAnsi="Arial" w:cs="Arial"/>
          <w:sz w:val="20"/>
          <w:szCs w:val="20"/>
        </w:rPr>
      </w:pPr>
    </w:p>
    <w:sectPr w:rsidR="00153649" w:rsidRPr="00114653" w:rsidSect="001536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1465D"/>
    <w:rsid w:val="00014F80"/>
    <w:rsid w:val="00114653"/>
    <w:rsid w:val="00153649"/>
    <w:rsid w:val="00261688"/>
    <w:rsid w:val="003C5B66"/>
    <w:rsid w:val="0071465D"/>
    <w:rsid w:val="00816A16"/>
    <w:rsid w:val="00C130E7"/>
    <w:rsid w:val="00CE0444"/>
    <w:rsid w:val="00D379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6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6A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1122</Words>
  <Characters>6402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Cagliari</dc:creator>
  <cp:lastModifiedBy>Cagliari</cp:lastModifiedBy>
  <cp:revision>7</cp:revision>
  <dcterms:created xsi:type="dcterms:W3CDTF">2020-04-28T10:45:00Z</dcterms:created>
  <dcterms:modified xsi:type="dcterms:W3CDTF">2020-04-28T11:37:00Z</dcterms:modified>
</cp:coreProperties>
</file>